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BE0535C" w14:textId="37EAA6F8" w:rsidR="00F02BD0" w:rsidRDefault="0071620A" w:rsidP="00F02BD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F02BD0" w:rsidRPr="00F02BD0">
        <w:rPr>
          <w:rFonts w:ascii="Corbel" w:hAnsi="Corbel"/>
          <w:i/>
          <w:smallCaps/>
          <w:sz w:val="24"/>
          <w:szCs w:val="24"/>
        </w:rPr>
        <w:t xml:space="preserve"> </w:t>
      </w:r>
      <w:r w:rsidR="00F02BD0">
        <w:rPr>
          <w:rFonts w:ascii="Corbel" w:hAnsi="Corbel"/>
          <w:i/>
          <w:smallCaps/>
          <w:sz w:val="24"/>
          <w:szCs w:val="24"/>
        </w:rPr>
        <w:t>2024-2027</w:t>
      </w:r>
    </w:p>
    <w:p w14:paraId="0BD43AF6" w14:textId="1672A86A" w:rsidR="0085747A" w:rsidRPr="00B169DF" w:rsidRDefault="00F02BD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</w:t>
      </w:r>
      <w:r w:rsidR="00EA4832"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7534D79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</w:t>
      </w:r>
      <w:proofErr w:type="gramStart"/>
      <w:r w:rsidRPr="00B169DF">
        <w:rPr>
          <w:rFonts w:ascii="Corbel" w:hAnsi="Corbel"/>
          <w:sz w:val="20"/>
          <w:szCs w:val="20"/>
        </w:rPr>
        <w:t>akademicki   ..</w:t>
      </w:r>
      <w:proofErr w:type="gramEnd"/>
      <w:r w:rsidR="00933888">
        <w:rPr>
          <w:rFonts w:ascii="Corbel" w:hAnsi="Corbel"/>
          <w:sz w:val="20"/>
          <w:szCs w:val="20"/>
        </w:rPr>
        <w:t>202</w:t>
      </w:r>
      <w:r w:rsidR="00F02BD0">
        <w:rPr>
          <w:rFonts w:ascii="Corbel" w:hAnsi="Corbel"/>
          <w:sz w:val="20"/>
          <w:szCs w:val="20"/>
        </w:rPr>
        <w:t>5</w:t>
      </w:r>
      <w:r w:rsidR="00933888">
        <w:rPr>
          <w:rFonts w:ascii="Corbel" w:hAnsi="Corbel"/>
          <w:sz w:val="20"/>
          <w:szCs w:val="20"/>
        </w:rPr>
        <w:t>/2</w:t>
      </w:r>
      <w:r w:rsidR="00F02BD0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11F7D095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289FC950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FF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C77FF4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BF0D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BF0D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D499600" w:rsidR="00015B8F" w:rsidRPr="00B169DF" w:rsidRDefault="00C77F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F4B25BA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12761195" w:rsidR="00015B8F" w:rsidRPr="00B169DF" w:rsidRDefault="00C77F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BF0D3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70F1CA25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 xml:space="preserve"> uzależnień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 xml:space="preserve">behawioralnych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237D0CE5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54474CFE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koncepcjami dotyczącymi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biologicznych, psychicznych i społecznych uwarunkowań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1452C37B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zaburzonych nawyków prowadzących do uzależnień behawioralnych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0591957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osób zagrożonych uzależnieniem, uzależnionych oraz współuzależnionych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04F32ADC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D6327D">
              <w:rPr>
                <w:rFonts w:ascii="Corbel" w:hAnsi="Corbel"/>
                <w:sz w:val="24"/>
                <w:szCs w:val="24"/>
              </w:rPr>
              <w:t>ze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pojęcia: </w:t>
            </w:r>
            <w:r w:rsidR="00D6327D">
              <w:rPr>
                <w:rFonts w:ascii="Corbel" w:hAnsi="Corbel"/>
                <w:sz w:val="24"/>
                <w:szCs w:val="24"/>
              </w:rPr>
              <w:t>uzależnienie</w:t>
            </w:r>
            <w:r w:rsidR="00AF025A">
              <w:rPr>
                <w:rFonts w:ascii="Corbel" w:hAnsi="Corbel"/>
                <w:sz w:val="24"/>
                <w:szCs w:val="24"/>
              </w:rPr>
              <w:t xml:space="preserve"> behawioralne</w:t>
            </w:r>
            <w:r w:rsidR="00D6327D">
              <w:rPr>
                <w:rFonts w:ascii="Corbel" w:hAnsi="Corbel"/>
                <w:sz w:val="24"/>
                <w:szCs w:val="24"/>
              </w:rPr>
              <w:t>, nałóg, nawyk i inne, pokrewne.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56B5FA04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etiologii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62BF72EA" w:rsidR="00C47C6B" w:rsidRPr="00B169DF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zaburzenia dotyczące funkcjonowania wybranych środowisk wychowawczych, wpływające na powstawanie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behawioralnych.</w:t>
            </w:r>
          </w:p>
        </w:tc>
        <w:tc>
          <w:tcPr>
            <w:tcW w:w="1865" w:type="dxa"/>
          </w:tcPr>
          <w:p w14:paraId="4C10F218" w14:textId="2403EA1C" w:rsidR="00C47C6B" w:rsidRPr="00B169DF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4CD10B89" w:rsidR="00C47C6B" w:rsidRPr="00192801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 xml:space="preserve">uzależnieniami behawioralnymi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29D044D" w14:textId="21A07546" w:rsidR="00C47C6B" w:rsidRPr="00E575AF" w:rsidRDefault="00C77FF4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48DD4E72" w:rsidR="002C5279" w:rsidRPr="002C5279" w:rsidRDefault="00C77FF4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4654068D" w14:textId="0E59ED41" w:rsidR="002C5279" w:rsidRPr="00E575AF" w:rsidRDefault="00C77FF4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34D324BC" w:rsidR="002C5279" w:rsidRPr="00CE44D8" w:rsidRDefault="00C77FF4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>
              <w:rPr>
                <w:rFonts w:ascii="Corbel" w:hAnsi="Corbel"/>
                <w:b w:val="0"/>
                <w:smallCaps w:val="0"/>
              </w:rPr>
              <w:t xml:space="preserve"> osobami zagrożonymi </w:t>
            </w:r>
            <w:r w:rsidR="00AF025A">
              <w:rPr>
                <w:rFonts w:ascii="Corbel" w:hAnsi="Corbel"/>
                <w:b w:val="0"/>
                <w:smallCaps w:val="0"/>
              </w:rPr>
              <w:t>uzależnieniem</w:t>
            </w:r>
            <w:r>
              <w:rPr>
                <w:rFonts w:ascii="Corbel" w:hAnsi="Corbel"/>
                <w:b w:val="0"/>
                <w:smallCaps w:val="0"/>
              </w:rPr>
              <w:t>, uzależnionymi i współuzależnionymi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32BCCCE" w14:textId="153394DD" w:rsidR="002C5279" w:rsidRPr="00E575AF" w:rsidRDefault="00C77FF4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3A86972E" w:rsidR="0085747A" w:rsidRPr="001C3271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Podstawowe pojęcia związane</w:t>
            </w:r>
            <w:r w:rsidR="00D86C6A" w:rsidRPr="001C3271">
              <w:rPr>
                <w:rFonts w:ascii="Corbel" w:hAnsi="Corbel"/>
                <w:sz w:val="24"/>
                <w:szCs w:val="24"/>
              </w:rPr>
              <w:t xml:space="preserve"> </w:t>
            </w:r>
            <w:r w:rsidR="00AF025A" w:rsidRPr="001C3271">
              <w:rPr>
                <w:rFonts w:ascii="Corbel" w:hAnsi="Corbel"/>
                <w:sz w:val="24"/>
                <w:szCs w:val="24"/>
              </w:rPr>
              <w:t xml:space="preserve">z zaburzonymi nawykami prowadzącymi do uzależnień behawioralnych różne </w:t>
            </w:r>
            <w:r w:rsidRPr="001C3271">
              <w:rPr>
                <w:rFonts w:ascii="Corbel" w:hAnsi="Corbel"/>
                <w:sz w:val="24"/>
                <w:szCs w:val="24"/>
              </w:rPr>
              <w:t>sposoby ich definiowania oraz relacje zachodzące pomiędzy nimi.</w:t>
            </w:r>
          </w:p>
        </w:tc>
      </w:tr>
      <w:tr w:rsidR="008C4EBE" w:rsidRPr="00B169DF" w14:paraId="64376493" w14:textId="77777777" w:rsidTr="00A040E5">
        <w:tc>
          <w:tcPr>
            <w:tcW w:w="9520" w:type="dxa"/>
          </w:tcPr>
          <w:p w14:paraId="6CD5E176" w14:textId="3C7511E4" w:rsidR="008C4EBE" w:rsidRPr="001C3271" w:rsidRDefault="008C4EBE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Uzależnienie od hazardu – przyczyny, przejawy, skutki oraz sposoby zapobiegania.</w:t>
            </w:r>
          </w:p>
        </w:tc>
      </w:tr>
      <w:tr w:rsidR="008C4EBE" w:rsidRPr="00B169DF" w14:paraId="581133CF" w14:textId="77777777" w:rsidTr="005872FA">
        <w:tc>
          <w:tcPr>
            <w:tcW w:w="9520" w:type="dxa"/>
          </w:tcPr>
          <w:p w14:paraId="3C1A4D38" w14:textId="4C044439" w:rsidR="008C4EBE" w:rsidRPr="001C3271" w:rsidRDefault="008C4EBE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Uzależnienia behawioralne związane z zaspokajaniem podstawowych potrzeb – zaburzenia odżywiania (anoreksja, bulimia, kompulsywne objadanie się, ortoreksja</w:t>
            </w:r>
            <w:r w:rsidR="00691FE1" w:rsidRPr="001C3271">
              <w:rPr>
                <w:rFonts w:ascii="Corbel" w:hAnsi="Corbel"/>
                <w:sz w:val="24"/>
                <w:szCs w:val="24"/>
              </w:rPr>
              <w:t>) i seksoholizm.</w:t>
            </w:r>
            <w:r w:rsidRPr="001C327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C4EBE" w:rsidRPr="00B169DF" w14:paraId="6C72DEF6" w14:textId="77777777" w:rsidTr="005872FA">
        <w:tc>
          <w:tcPr>
            <w:tcW w:w="9520" w:type="dxa"/>
          </w:tcPr>
          <w:p w14:paraId="58EBE311" w14:textId="5ABA0BBB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Zaburzenia wykonywania codziennych czynności – zakupoholizm, pracoholizm.</w:t>
            </w:r>
          </w:p>
        </w:tc>
      </w:tr>
      <w:tr w:rsidR="008C4EBE" w:rsidRPr="00B169DF" w14:paraId="0B9A2B82" w14:textId="77777777" w:rsidTr="008B4E35">
        <w:tc>
          <w:tcPr>
            <w:tcW w:w="9520" w:type="dxa"/>
          </w:tcPr>
          <w:p w14:paraId="0A417109" w14:textId="35990FEA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Uzależnienia od mediów elektronicznych i środków masowego przekazu.</w:t>
            </w:r>
          </w:p>
        </w:tc>
      </w:tr>
      <w:tr w:rsidR="008C4EBE" w:rsidRPr="00B169DF" w14:paraId="181690C7" w14:textId="77777777" w:rsidTr="008B4E35">
        <w:tc>
          <w:tcPr>
            <w:tcW w:w="9520" w:type="dxa"/>
          </w:tcPr>
          <w:p w14:paraId="2200E9D0" w14:textId="43C23124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Patologiczne nawyki – kleptomania,</w:t>
            </w:r>
            <w:r w:rsidR="005C7A4A" w:rsidRPr="001C3271">
              <w:rPr>
                <w:rFonts w:ascii="Corbel" w:hAnsi="Corbel"/>
                <w:sz w:val="24"/>
                <w:szCs w:val="24"/>
              </w:rPr>
              <w:t xml:space="preserve"> piromania, poriomania, </w:t>
            </w:r>
            <w:proofErr w:type="spellStart"/>
            <w:r w:rsidR="005C7A4A" w:rsidRPr="001C3271">
              <w:rPr>
                <w:rFonts w:ascii="Corbel" w:hAnsi="Corbel"/>
                <w:sz w:val="24"/>
                <w:szCs w:val="24"/>
              </w:rPr>
              <w:t>trichotillomania</w:t>
            </w:r>
            <w:proofErr w:type="spellEnd"/>
            <w:r w:rsidR="005C7A4A" w:rsidRPr="001C327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3C95" w:rsidRPr="00B169DF" w14:paraId="78629AC3" w14:textId="77777777" w:rsidTr="008B4E35">
        <w:tc>
          <w:tcPr>
            <w:tcW w:w="9520" w:type="dxa"/>
          </w:tcPr>
          <w:p w14:paraId="37F9774D" w14:textId="079D206E" w:rsidR="00883C95" w:rsidRPr="001C3271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 xml:space="preserve">Skala </w:t>
            </w:r>
            <w:r w:rsidR="005A06BC" w:rsidRPr="001C3271">
              <w:rPr>
                <w:rFonts w:ascii="Corbel" w:hAnsi="Corbel"/>
                <w:sz w:val="24"/>
                <w:szCs w:val="24"/>
              </w:rPr>
              <w:t>uzależnień behawioralnych w</w:t>
            </w:r>
            <w:r w:rsidRPr="001C3271">
              <w:rPr>
                <w:rFonts w:ascii="Corbel" w:hAnsi="Corbel"/>
                <w:sz w:val="24"/>
                <w:szCs w:val="24"/>
              </w:rPr>
              <w:t xml:space="preserve"> Polsce i podstawowe czynniki ryzyka.</w:t>
            </w:r>
          </w:p>
        </w:tc>
      </w:tr>
      <w:tr w:rsidR="001A6810" w:rsidRPr="00B169DF" w14:paraId="2F2CD860" w14:textId="77777777" w:rsidTr="008B4E35">
        <w:tc>
          <w:tcPr>
            <w:tcW w:w="9520" w:type="dxa"/>
          </w:tcPr>
          <w:p w14:paraId="519729D6" w14:textId="7F17B527" w:rsidR="001A6810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Kryteria uzależnień behawioralnych i ich podstawowe symptomy.</w:t>
            </w:r>
          </w:p>
        </w:tc>
      </w:tr>
      <w:tr w:rsidR="00883C95" w:rsidRPr="00B169DF" w14:paraId="5F2BD5AB" w14:textId="77777777" w:rsidTr="008B4E35">
        <w:tc>
          <w:tcPr>
            <w:tcW w:w="9520" w:type="dxa"/>
          </w:tcPr>
          <w:p w14:paraId="4F4D2FB3" w14:textId="2576F947" w:rsidR="00883C95" w:rsidRPr="001C3271" w:rsidRDefault="005C7A4A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6BC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>Wizualizacje – uzależnienie od modyfikacji ciała</w:t>
            </w:r>
          </w:p>
        </w:tc>
      </w:tr>
      <w:tr w:rsidR="00883C95" w:rsidRPr="00B169DF" w14:paraId="2BA695F1" w14:textId="77777777" w:rsidTr="008B4E35">
        <w:tc>
          <w:tcPr>
            <w:tcW w:w="9520" w:type="dxa"/>
          </w:tcPr>
          <w:p w14:paraId="3281765D" w14:textId="72DF4C09" w:rsidR="00883C95" w:rsidRPr="001C3271" w:rsidRDefault="005C7A4A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 xml:space="preserve">Tanoreksja i bigoreksja, jako skutek </w:t>
            </w:r>
            <w:r w:rsidR="001A6810" w:rsidRPr="001C3271">
              <w:rPr>
                <w:rFonts w:ascii="Corbel" w:hAnsi="Corbel"/>
                <w:sz w:val="24"/>
                <w:szCs w:val="24"/>
              </w:rPr>
              <w:t>obsesji na punkcie własnego wyglądu.</w:t>
            </w:r>
          </w:p>
        </w:tc>
      </w:tr>
      <w:tr w:rsidR="00883C95" w:rsidRPr="00B169DF" w14:paraId="01E991E0" w14:textId="77777777" w:rsidTr="008B4E35">
        <w:tc>
          <w:tcPr>
            <w:tcW w:w="9520" w:type="dxa"/>
          </w:tcPr>
          <w:p w14:paraId="2CE5AB4E" w14:textId="76F3B26F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6BC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>Skrajne zachowania ryzykowne</w:t>
            </w:r>
            <w:r w:rsidRPr="001C3271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 xml:space="preserve"> - </w:t>
            </w:r>
            <w:r w:rsidRPr="001C3271">
              <w:rPr>
                <w:rFonts w:ascii="Corbel" w:hAnsi="Corbel"/>
                <w:sz w:val="24"/>
                <w:szCs w:val="24"/>
              </w:rPr>
              <w:t>przyczyny, przejawy, skutki oraz sposoby zapobiegania.</w:t>
            </w:r>
          </w:p>
        </w:tc>
      </w:tr>
      <w:tr w:rsidR="00883C95" w:rsidRPr="00B169DF" w14:paraId="568A56A6" w14:textId="77777777" w:rsidTr="008B4E35">
        <w:tc>
          <w:tcPr>
            <w:tcW w:w="9520" w:type="dxa"/>
          </w:tcPr>
          <w:p w14:paraId="6B452431" w14:textId="4F971B14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Ekshibicjonizm internetowy – przyczyny, skutki, zagrożenia.</w:t>
            </w:r>
          </w:p>
        </w:tc>
      </w:tr>
      <w:tr w:rsidR="00883C95" w:rsidRPr="00B169DF" w14:paraId="36F3BEC2" w14:textId="77777777" w:rsidTr="008B4E35">
        <w:tc>
          <w:tcPr>
            <w:tcW w:w="9520" w:type="dxa"/>
          </w:tcPr>
          <w:p w14:paraId="6CACA99C" w14:textId="6DAC2BF5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Profilaktyka i terapia uzależnień behawioralnych.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780670F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6EE061D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297ACC2" w14:textId="77777777" w:rsidR="00463272" w:rsidRPr="00B169DF" w:rsidRDefault="0046327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20897178" w:rsidR="0085747A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</w:t>
            </w:r>
            <w:r w:rsidR="00463272">
              <w:rPr>
                <w:rFonts w:ascii="Corbel" w:hAnsi="Corbel"/>
                <w:b w:val="0"/>
                <w:smallCaps w:val="0"/>
                <w:szCs w:val="24"/>
              </w:rPr>
              <w:t>o:</w:t>
            </w:r>
          </w:p>
          <w:p w14:paraId="5BE90908" w14:textId="77777777" w:rsidR="00463272" w:rsidRDefault="004632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EEFA12" w14:textId="160C6E72" w:rsidR="00463272" w:rsidRPr="00463272" w:rsidRDefault="00463272" w:rsidP="00463272">
            <w:pPr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857738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tudent prezentuje wypowiedzi na tematy wybran</w:t>
            </w:r>
            <w:r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 xml:space="preserve">e </w:t>
            </w:r>
            <w:r w:rsidRPr="00857738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przez egzaminatora</w:t>
            </w:r>
            <w:r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09D205D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(na kolokwium 3, w ramach egzaminu 5)</w:t>
            </w:r>
            <w:r w:rsidRPr="009D205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 w:rsidRPr="00857738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857738">
              <w:rPr>
                <w:rStyle w:val="TytuZnak"/>
                <w:rFonts w:eastAsia="Calibri"/>
                <w:b w:val="0"/>
                <w:bCs w:val="0"/>
              </w:rPr>
              <w:t>y</w:t>
            </w:r>
            <w:r w:rsidRPr="00857738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6EFC7681" w14:textId="77777777" w:rsidR="00463272" w:rsidRPr="00857738" w:rsidRDefault="00463272" w:rsidP="00463272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5773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665B1744" w14:textId="77777777" w:rsidR="00463272" w:rsidRPr="00857738" w:rsidRDefault="00463272" w:rsidP="00463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4F9874D4" w14:textId="77777777" w:rsidR="00463272" w:rsidRPr="00857738" w:rsidRDefault="00463272" w:rsidP="00463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26C6BCCA" w14:textId="77777777" w:rsidR="00463272" w:rsidRPr="00857738" w:rsidRDefault="00463272" w:rsidP="00463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314547B5" w14:textId="77777777" w:rsidR="00463272" w:rsidRPr="00857738" w:rsidRDefault="00463272" w:rsidP="00463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49DCB8AE" w14:textId="77777777" w:rsidR="00463272" w:rsidRDefault="00463272" w:rsidP="00463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33A5C174" w14:textId="77777777" w:rsidR="00463272" w:rsidRPr="00857738" w:rsidRDefault="00463272" w:rsidP="00463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8FB5B99" w14:textId="77777777" w:rsidR="00463272" w:rsidRPr="00857738" w:rsidRDefault="00463272" w:rsidP="0046327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5DF60254" w14:textId="77777777" w:rsidR="00463272" w:rsidRPr="00857738" w:rsidRDefault="00463272" w:rsidP="0046327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41C43332" w14:textId="77777777" w:rsidR="00463272" w:rsidRPr="00857738" w:rsidRDefault="00463272" w:rsidP="0046327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1EECE779" w14:textId="77777777" w:rsidR="00463272" w:rsidRPr="00857738" w:rsidRDefault="00463272" w:rsidP="0046327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0178CC6D" w14:textId="77777777" w:rsidR="00463272" w:rsidRPr="00857738" w:rsidRDefault="00463272" w:rsidP="0046327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13516" w:type="dxa"/>
              <w:tblLook w:val="04A0" w:firstRow="1" w:lastRow="0" w:firstColumn="1" w:lastColumn="0" w:noHBand="0" w:noVBand="1"/>
            </w:tblPr>
            <w:tblGrid>
              <w:gridCol w:w="5072"/>
              <w:gridCol w:w="4222"/>
              <w:gridCol w:w="4222"/>
            </w:tblGrid>
            <w:tr w:rsidR="00463272" w:rsidRPr="009D205D" w14:paraId="3CF5E978" w14:textId="77777777" w:rsidTr="00537F43">
              <w:tc>
                <w:tcPr>
                  <w:tcW w:w="5072" w:type="dxa"/>
                </w:tcPr>
                <w:p w14:paraId="12471F4F" w14:textId="77777777" w:rsidR="00463272" w:rsidRPr="009D205D" w:rsidRDefault="00463272" w:rsidP="00463272">
                  <w:pPr>
                    <w:rPr>
                      <w:rFonts w:ascii="Corbel" w:hAnsi="Corbel"/>
                      <w:b/>
                      <w:bCs/>
                    </w:rPr>
                  </w:pPr>
                  <w:r w:rsidRPr="009D205D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222" w:type="dxa"/>
                </w:tcPr>
                <w:p w14:paraId="4D88C588" w14:textId="77777777" w:rsidR="00463272" w:rsidRPr="009D205D" w:rsidRDefault="00463272" w:rsidP="00463272">
                  <w:pPr>
                    <w:rPr>
                      <w:rFonts w:ascii="Corbel" w:hAnsi="Corbel"/>
                      <w:b/>
                      <w:bCs/>
                    </w:rPr>
                  </w:pPr>
                  <w:r w:rsidRPr="009D205D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  <w:tc>
                <w:tcPr>
                  <w:tcW w:w="4222" w:type="dxa"/>
                </w:tcPr>
                <w:p w14:paraId="130EE1B7" w14:textId="77777777" w:rsidR="00463272" w:rsidRPr="009D205D" w:rsidRDefault="00463272" w:rsidP="00463272">
                  <w:pPr>
                    <w:rPr>
                      <w:rFonts w:ascii="Corbel" w:hAnsi="Corbel"/>
                      <w:b/>
                      <w:bCs/>
                    </w:rPr>
                  </w:pPr>
                </w:p>
              </w:tc>
            </w:tr>
            <w:tr w:rsidR="00463272" w:rsidRPr="009D205D" w14:paraId="3500C457" w14:textId="77777777" w:rsidTr="00537F43">
              <w:tc>
                <w:tcPr>
                  <w:tcW w:w="5072" w:type="dxa"/>
                </w:tcPr>
                <w:p w14:paraId="410A7F14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222" w:type="dxa"/>
                </w:tcPr>
                <w:p w14:paraId="4AB9FDFA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  <w:tc>
                <w:tcPr>
                  <w:tcW w:w="4222" w:type="dxa"/>
                </w:tcPr>
                <w:p w14:paraId="5C51463F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463272" w:rsidRPr="009D205D" w14:paraId="17E05ABF" w14:textId="77777777" w:rsidTr="00537F43">
              <w:tc>
                <w:tcPr>
                  <w:tcW w:w="5072" w:type="dxa"/>
                </w:tcPr>
                <w:p w14:paraId="79791532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222" w:type="dxa"/>
                </w:tcPr>
                <w:p w14:paraId="352F05F7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  <w:tc>
                <w:tcPr>
                  <w:tcW w:w="4222" w:type="dxa"/>
                </w:tcPr>
                <w:p w14:paraId="6804B6A9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463272" w:rsidRPr="009D205D" w14:paraId="5E450410" w14:textId="77777777" w:rsidTr="00537F43">
              <w:tc>
                <w:tcPr>
                  <w:tcW w:w="5072" w:type="dxa"/>
                </w:tcPr>
                <w:p w14:paraId="150613B4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222" w:type="dxa"/>
                </w:tcPr>
                <w:p w14:paraId="252E8A5A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  <w:tc>
                <w:tcPr>
                  <w:tcW w:w="4222" w:type="dxa"/>
                </w:tcPr>
                <w:p w14:paraId="057E6DC0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463272" w:rsidRPr="009D205D" w14:paraId="508E854F" w14:textId="77777777" w:rsidTr="00537F43">
              <w:tc>
                <w:tcPr>
                  <w:tcW w:w="5072" w:type="dxa"/>
                </w:tcPr>
                <w:p w14:paraId="18B9C530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222" w:type="dxa"/>
                </w:tcPr>
                <w:p w14:paraId="29CE8114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  <w:tc>
                <w:tcPr>
                  <w:tcW w:w="4222" w:type="dxa"/>
                </w:tcPr>
                <w:p w14:paraId="723AB068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463272" w:rsidRPr="009D205D" w14:paraId="65092384" w14:textId="77777777" w:rsidTr="00537F43">
              <w:tc>
                <w:tcPr>
                  <w:tcW w:w="5072" w:type="dxa"/>
                </w:tcPr>
                <w:p w14:paraId="069D0789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222" w:type="dxa"/>
                </w:tcPr>
                <w:p w14:paraId="5136D275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  <w:tc>
                <w:tcPr>
                  <w:tcW w:w="4222" w:type="dxa"/>
                </w:tcPr>
                <w:p w14:paraId="3F34BB7B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463272" w:rsidRPr="009D205D" w14:paraId="2C30EDA7" w14:textId="77777777" w:rsidTr="00537F43">
              <w:tc>
                <w:tcPr>
                  <w:tcW w:w="5072" w:type="dxa"/>
                </w:tcPr>
                <w:p w14:paraId="2AA463E2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Corbel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222" w:type="dxa"/>
                </w:tcPr>
                <w:p w14:paraId="7F98A246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  <w:tc>
                <w:tcPr>
                  <w:tcW w:w="4222" w:type="dxa"/>
                </w:tcPr>
                <w:p w14:paraId="1D965B15" w14:textId="77777777" w:rsidR="00463272" w:rsidRPr="009D205D" w:rsidRDefault="00463272" w:rsidP="00463272">
                  <w:pPr>
                    <w:pStyle w:val="Akapitzlist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Corbel" w:eastAsia="Times New Roman" w:hAnsi="Corbel"/>
                    </w:rPr>
                  </w:pPr>
                </w:p>
              </w:tc>
            </w:tr>
          </w:tbl>
          <w:p w14:paraId="56BA49F0" w14:textId="77777777" w:rsidR="00463272" w:rsidRPr="00B169DF" w:rsidRDefault="004632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8663FA" w14:textId="59DF150A" w:rsidR="0085747A" w:rsidRPr="00B169DF" w:rsidRDefault="004632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ktywność na zajęciach - samodzielne przygotowywanie materiałów do zajęć, referatów, prezentacji itp.</w:t>
            </w: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595EEF8" w:rsidR="0085747A" w:rsidRPr="00B169DF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2AEE7CEE" w:rsidR="003C0AD4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C0AD4">
              <w:rPr>
                <w:rFonts w:ascii="Corbel" w:hAnsi="Corbel"/>
                <w:sz w:val="24"/>
                <w:szCs w:val="24"/>
              </w:rPr>
              <w:t>0</w:t>
            </w:r>
          </w:p>
          <w:p w14:paraId="00E4475C" w14:textId="7165C17E" w:rsidR="003C0AD4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CB99AE" w14:textId="598003B4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C3271">
              <w:rPr>
                <w:rFonts w:ascii="Corbel" w:hAnsi="Corbel"/>
                <w:sz w:val="24"/>
                <w:szCs w:val="24"/>
              </w:rPr>
              <w:t>5</w:t>
            </w:r>
          </w:p>
          <w:p w14:paraId="3D58F43F" w14:textId="248FC853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588A09FF" w:rsidR="0085747A" w:rsidRPr="00B169DF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C0AD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378A5E8B" w:rsidR="0085747A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65447A98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0F10FA2C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49B90B95" w14:textId="77777777" w:rsidR="00DB6179" w:rsidRDefault="00DB6179" w:rsidP="004632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63272" w:rsidRPr="001349D7" w14:paraId="3558BC85" w14:textId="77777777" w:rsidTr="00537F43">
        <w:tc>
          <w:tcPr>
            <w:tcW w:w="8953" w:type="dxa"/>
          </w:tcPr>
          <w:p w14:paraId="5E814F50" w14:textId="77777777" w:rsidR="00463272" w:rsidRPr="001349D7" w:rsidRDefault="00463272" w:rsidP="00537F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CCA314" w14:textId="77777777" w:rsidR="00463272" w:rsidRDefault="00463272" w:rsidP="00537F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Patologia społeczna. Uzależnienia oraz związane z nimi zagrożenia społeczne</w:t>
            </w:r>
            <w:r w:rsidRPr="001349D7">
              <w:rPr>
                <w:rFonts w:ascii="Corbel" w:hAnsi="Corbel"/>
                <w:sz w:val="24"/>
                <w:szCs w:val="24"/>
              </w:rPr>
              <w:t>, red. D. Pstrąg.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42990923" w14:textId="77777777" w:rsidR="00463272" w:rsidRPr="001349D7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 xml:space="preserve">Patologie społeczne i problemy społeczne, </w:t>
            </w:r>
            <w:r w:rsidRPr="001349D7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04005983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Uzależnienia behawioralne i zachowania problemowe młodzieży: teoria, diagnoza, profilaktyka, terapia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red. 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Jarczyńska.  Bydgoszcz 2014. </w:t>
            </w:r>
          </w:p>
          <w:p w14:paraId="1C76A93E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Uzależnienia behawioralne: terapia i profilaktyka</w:t>
            </w:r>
            <w:r>
              <w:rPr>
                <w:rFonts w:ascii="Corbel" w:hAnsi="Corbel"/>
                <w:sz w:val="24"/>
                <w:szCs w:val="24"/>
              </w:rPr>
              <w:t>, red.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Rowicka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 Warszawa 2015.</w:t>
            </w:r>
          </w:p>
          <w:p w14:paraId="0F478146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Zaburzenia behawioralne i zaburzenia nawyków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red. S.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Jakima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Mosiołek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Warszawa 2022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537146D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Zaburzenia uprawiania hazardu i inne tak zwane nałogi behawioralne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red.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Habrat. 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2016.</w:t>
            </w:r>
          </w:p>
          <w:p w14:paraId="6D1763B3" w14:textId="77777777" w:rsidR="00463272" w:rsidRPr="001349D7" w:rsidRDefault="00463272" w:rsidP="00537F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63272" w:rsidRPr="001349D7" w14:paraId="181EECB1" w14:textId="77777777" w:rsidTr="00537F43">
        <w:tc>
          <w:tcPr>
            <w:tcW w:w="8953" w:type="dxa"/>
          </w:tcPr>
          <w:p w14:paraId="284502C6" w14:textId="77777777" w:rsidR="00463272" w:rsidRPr="001349D7" w:rsidRDefault="00463272" w:rsidP="00537F4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A883234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Anoreksja i bulimia psychiczna: rozumienie i leczenie zaburzeń odżywiania się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CB6">
              <w:rPr>
                <w:rFonts w:ascii="Corbel" w:hAnsi="Corbel"/>
                <w:sz w:val="24"/>
                <w:szCs w:val="24"/>
              </w:rPr>
              <w:t>red. B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>Kraków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5FAF1A5" w14:textId="77777777" w:rsidR="00463272" w:rsidRPr="000303B3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Golińska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L.,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303B3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Pracoholizm inaczej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 Warszawa 2014.</w:t>
            </w:r>
          </w:p>
          <w:p w14:paraId="1715316B" w14:textId="77777777" w:rsidR="00463272" w:rsidRPr="006D32B2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Griffiths</w:t>
            </w:r>
            <w:r w:rsidRPr="0027382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Gry i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</w:t>
            </w: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uzależnienia dzieci w okresie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dorastania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; przekł. [z ang.] 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Sawicka-Chrapkowicz</w:t>
            </w:r>
            <w:proofErr w:type="spellEnd"/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.  Gdańsk 2004.</w:t>
            </w:r>
          </w:p>
          <w:p w14:paraId="23158D9F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Guerreschi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Uzależnienie od seksu: kiedy seks może zabić</w:t>
            </w:r>
            <w:r w:rsidRPr="00032CB6">
              <w:rPr>
                <w:rFonts w:ascii="Corbel" w:hAnsi="Corbel"/>
                <w:sz w:val="24"/>
                <w:szCs w:val="24"/>
              </w:rPr>
              <w:t>; tłum. 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Rodziewicz-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Doktór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Kraków 2013</w:t>
            </w:r>
          </w:p>
          <w:p w14:paraId="0CE6C5A3" w14:textId="77777777" w:rsidR="00463272" w:rsidRPr="006D32B2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 historia, zagrożenia i drogi wyjścia</w:t>
            </w:r>
            <w:r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,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red. B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T. Woronowicz.  Poznań 2012.</w:t>
            </w:r>
          </w:p>
          <w:p w14:paraId="0C38AC86" w14:textId="77777777" w:rsidR="00463272" w:rsidRPr="006D32B2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 problemy, zagrożenia, pomoc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red. B. Wojewódzka. Warszawa 2011.</w:t>
            </w:r>
          </w:p>
          <w:p w14:paraId="753F4DE5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Kultura, ciało (nie)jedzenie, terapia: perspektywa narracyjno-</w:t>
            </w:r>
            <w:proofErr w:type="spellStart"/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konstrukcjonistyczna</w:t>
            </w:r>
            <w:proofErr w:type="spellEnd"/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 xml:space="preserve"> w zaburzeniach odżywiania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. Kraków 2014. </w:t>
            </w:r>
          </w:p>
          <w:p w14:paraId="189C3365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Kozak</w:t>
            </w:r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St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Patologia fonoholizmu: przyczyny, skutki i leczenie uzależnienia dzieci i młodzieży od telefonu komórkowego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Warszawa 2013. </w:t>
            </w:r>
          </w:p>
          <w:p w14:paraId="3B6C5E11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Lipka 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Waszczak</w:t>
            </w:r>
            <w:proofErr w:type="spellEnd"/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Winnicka-Wejs</w:t>
            </w:r>
            <w:proofErr w:type="spellEnd"/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Aktywność twórcza a pracoholizm: jak utrzymać kapitał kreatywności pracowników?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- Warszawa 2013. </w:t>
            </w:r>
          </w:p>
          <w:p w14:paraId="47618ABE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Majchrzak</w:t>
            </w:r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>, Ogińska-Bulik N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Uzależnienie od Internetu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Łódź 2010. </w:t>
            </w:r>
          </w:p>
          <w:p w14:paraId="04146954" w14:textId="77777777" w:rsidR="00463272" w:rsidRPr="00032CB6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Szurowska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Anoreksja i bulimia: śmiertelne sposoby na życie</w:t>
            </w:r>
            <w:r w:rsidRPr="00032CB6">
              <w:rPr>
                <w:rFonts w:ascii="Corbel" w:hAnsi="Corbel"/>
                <w:sz w:val="24"/>
                <w:szCs w:val="24"/>
              </w:rPr>
              <w:t>. Gdańsk 2011.</w:t>
            </w:r>
          </w:p>
          <w:p w14:paraId="1E1967E0" w14:textId="77777777" w:rsidR="00463272" w:rsidRPr="000303B3" w:rsidRDefault="00463272" w:rsidP="00537F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 xml:space="preserve">Wojdyło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K.,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Pracoholizm:</w:t>
            </w:r>
            <w:r w:rsidRPr="000303B3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perspektywa poznawcza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 Warszawa 2010.</w:t>
            </w:r>
          </w:p>
          <w:p w14:paraId="4FB2C43B" w14:textId="77777777" w:rsidR="00463272" w:rsidRPr="001349D7" w:rsidRDefault="00463272" w:rsidP="00537F43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Współczesne teorie i praktyka profilaktyki uzależnień chemicznych i nie chemicznych,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</w:tc>
      </w:tr>
    </w:tbl>
    <w:p w14:paraId="61A313B3" w14:textId="77777777" w:rsidR="00DB6179" w:rsidRDefault="00DB6179" w:rsidP="00DB61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21F5D7" w14:textId="5AFE1CC8" w:rsidR="00DB6179" w:rsidRDefault="00DB6179" w:rsidP="00DB61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780A61" w14:textId="77777777" w:rsidR="00DB6179" w:rsidRDefault="00DB6179" w:rsidP="00DB61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81158" w14:textId="77777777" w:rsidR="00677614" w:rsidRDefault="00677614" w:rsidP="00C16ABF">
      <w:pPr>
        <w:spacing w:after="0" w:line="240" w:lineRule="auto"/>
      </w:pPr>
      <w:r>
        <w:separator/>
      </w:r>
    </w:p>
  </w:endnote>
  <w:endnote w:type="continuationSeparator" w:id="0">
    <w:p w14:paraId="61AC293B" w14:textId="77777777" w:rsidR="00677614" w:rsidRDefault="006776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8BEB1" w14:textId="77777777" w:rsidR="00677614" w:rsidRDefault="00677614" w:rsidP="00C16ABF">
      <w:pPr>
        <w:spacing w:after="0" w:line="240" w:lineRule="auto"/>
      </w:pPr>
      <w:r>
        <w:separator/>
      </w:r>
    </w:p>
  </w:footnote>
  <w:footnote w:type="continuationSeparator" w:id="0">
    <w:p w14:paraId="50BE9EE0" w14:textId="77777777" w:rsidR="00677614" w:rsidRDefault="00677614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A0177"/>
    <w:multiLevelType w:val="multilevel"/>
    <w:tmpl w:val="D38428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64CA9"/>
    <w:multiLevelType w:val="multilevel"/>
    <w:tmpl w:val="69AA2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6D16EA"/>
    <w:multiLevelType w:val="hybridMultilevel"/>
    <w:tmpl w:val="7E540254"/>
    <w:lvl w:ilvl="0" w:tplc="4EE2BC32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72789"/>
    <w:multiLevelType w:val="hybridMultilevel"/>
    <w:tmpl w:val="0158C7A4"/>
    <w:lvl w:ilvl="0" w:tplc="5BCC1716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C5CDA"/>
    <w:multiLevelType w:val="multilevel"/>
    <w:tmpl w:val="BA26C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05296"/>
    <w:multiLevelType w:val="hybridMultilevel"/>
    <w:tmpl w:val="0136D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336CC"/>
    <w:multiLevelType w:val="multilevel"/>
    <w:tmpl w:val="FAE4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860314"/>
    <w:multiLevelType w:val="multilevel"/>
    <w:tmpl w:val="7B8A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6C7724"/>
    <w:multiLevelType w:val="hybridMultilevel"/>
    <w:tmpl w:val="E70C6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52631"/>
    <w:multiLevelType w:val="hybridMultilevel"/>
    <w:tmpl w:val="D29AF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513320"/>
    <w:multiLevelType w:val="multilevel"/>
    <w:tmpl w:val="37B21D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657300322">
    <w:abstractNumId w:val="3"/>
  </w:num>
  <w:num w:numId="2" w16cid:durableId="973561753">
    <w:abstractNumId w:val="9"/>
  </w:num>
  <w:num w:numId="3" w16cid:durableId="243883994">
    <w:abstractNumId w:val="7"/>
  </w:num>
  <w:num w:numId="4" w16cid:durableId="757867520">
    <w:abstractNumId w:val="4"/>
  </w:num>
  <w:num w:numId="5" w16cid:durableId="1639528176">
    <w:abstractNumId w:val="10"/>
  </w:num>
  <w:num w:numId="6" w16cid:durableId="515309796">
    <w:abstractNumId w:val="2"/>
  </w:num>
  <w:num w:numId="7" w16cid:durableId="336008736">
    <w:abstractNumId w:val="12"/>
  </w:num>
  <w:num w:numId="8" w16cid:durableId="1024549951">
    <w:abstractNumId w:val="5"/>
  </w:num>
  <w:num w:numId="9" w16cid:durableId="1436561851">
    <w:abstractNumId w:val="0"/>
  </w:num>
  <w:num w:numId="10" w16cid:durableId="1405562408">
    <w:abstractNumId w:val="11"/>
  </w:num>
  <w:num w:numId="11" w16cid:durableId="1338733962">
    <w:abstractNumId w:val="8"/>
  </w:num>
  <w:num w:numId="12" w16cid:durableId="8455385">
    <w:abstractNumId w:val="1"/>
  </w:num>
  <w:num w:numId="13" w16cid:durableId="155939094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B3"/>
    <w:rsid w:val="00032CB6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B68"/>
    <w:rsid w:val="000F1C57"/>
    <w:rsid w:val="000F4CFC"/>
    <w:rsid w:val="000F5615"/>
    <w:rsid w:val="001045A1"/>
    <w:rsid w:val="00124BFF"/>
    <w:rsid w:val="0012560E"/>
    <w:rsid w:val="00127108"/>
    <w:rsid w:val="001349D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E15"/>
    <w:rsid w:val="00192801"/>
    <w:rsid w:val="00192F37"/>
    <w:rsid w:val="001A6810"/>
    <w:rsid w:val="001A70D2"/>
    <w:rsid w:val="001C3271"/>
    <w:rsid w:val="001C387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7528"/>
    <w:rsid w:val="00273825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BEA"/>
    <w:rsid w:val="002C1F06"/>
    <w:rsid w:val="002C5279"/>
    <w:rsid w:val="002D2C94"/>
    <w:rsid w:val="002D3375"/>
    <w:rsid w:val="002D3A6B"/>
    <w:rsid w:val="002D73D4"/>
    <w:rsid w:val="002F02A3"/>
    <w:rsid w:val="002F4ABE"/>
    <w:rsid w:val="003018BA"/>
    <w:rsid w:val="0030395F"/>
    <w:rsid w:val="00305C92"/>
    <w:rsid w:val="003151C5"/>
    <w:rsid w:val="00327CA3"/>
    <w:rsid w:val="003343CF"/>
    <w:rsid w:val="00346716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1E49"/>
    <w:rsid w:val="003F205D"/>
    <w:rsid w:val="003F38C0"/>
    <w:rsid w:val="0040603F"/>
    <w:rsid w:val="00406DC9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3272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6BC"/>
    <w:rsid w:val="005A0855"/>
    <w:rsid w:val="005A3196"/>
    <w:rsid w:val="005C080F"/>
    <w:rsid w:val="005C5378"/>
    <w:rsid w:val="005C55E5"/>
    <w:rsid w:val="005C696A"/>
    <w:rsid w:val="005C7A4A"/>
    <w:rsid w:val="005E000D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77614"/>
    <w:rsid w:val="00691FE1"/>
    <w:rsid w:val="00696477"/>
    <w:rsid w:val="006D050F"/>
    <w:rsid w:val="006D32B2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F75"/>
    <w:rsid w:val="008449B3"/>
    <w:rsid w:val="008552A2"/>
    <w:rsid w:val="0085747A"/>
    <w:rsid w:val="00883701"/>
    <w:rsid w:val="00883C95"/>
    <w:rsid w:val="00884922"/>
    <w:rsid w:val="00885F64"/>
    <w:rsid w:val="008917F9"/>
    <w:rsid w:val="008A45F7"/>
    <w:rsid w:val="008B4E35"/>
    <w:rsid w:val="008C0CC0"/>
    <w:rsid w:val="008C19A9"/>
    <w:rsid w:val="008C379D"/>
    <w:rsid w:val="008C4EB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E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025A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D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77FF4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327D"/>
    <w:rsid w:val="00D74119"/>
    <w:rsid w:val="00D8075B"/>
    <w:rsid w:val="00D8328E"/>
    <w:rsid w:val="00D8678B"/>
    <w:rsid w:val="00D86C6A"/>
    <w:rsid w:val="00DA2114"/>
    <w:rsid w:val="00DB6179"/>
    <w:rsid w:val="00DC3375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2BD0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DC3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CCA3F-7DAB-454B-8F8E-CBBFF5FF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488</TotalTime>
  <Pages>6</Pages>
  <Words>1403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15</cp:revision>
  <cp:lastPrinted>2019-02-06T12:12:00Z</cp:lastPrinted>
  <dcterms:created xsi:type="dcterms:W3CDTF">2023-06-07T06:22:00Z</dcterms:created>
  <dcterms:modified xsi:type="dcterms:W3CDTF">2024-09-10T19:05:00Z</dcterms:modified>
</cp:coreProperties>
</file>